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401955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SAPS：清算账户管理系统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HVPS：大额支付系统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BEPS：小额支付系统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IBPS：网上支付跨行清算系统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CIS：支付影像交换系统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PMIS：支付管理信息系统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CCMS：公共控制系统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NPC：生产运行中心、同城备份中心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CCPC:城市处理中心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82010"/>
            <wp:effectExtent l="0" t="0" r="1397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99155"/>
            <wp:effectExtent l="0" t="0" r="1397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11220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00425"/>
            <wp:effectExtent l="0" t="0" r="50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65500"/>
            <wp:effectExtent l="0" t="0" r="444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226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010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78200"/>
            <wp:effectExtent l="0" t="0" r="571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发起方银行为什么发起的是贷记业务？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付款方发起的是贷记业务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收款方发起的是借机业务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借记支付是什么？？</w:t>
      </w:r>
    </w:p>
    <w:p>
      <w:r>
        <w:drawing>
          <wp:inline distT="0" distB="0" distL="114300" distR="114300">
            <wp:extent cx="5273040" cy="337693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网银借记</w:t>
      </w:r>
    </w:p>
    <w:p>
      <w:r>
        <w:drawing>
          <wp:inline distT="0" distB="0" distL="114300" distR="114300">
            <wp:extent cx="5273675" cy="3423920"/>
            <wp:effectExtent l="0" t="0" r="1460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网银贷记</w:t>
      </w:r>
    </w:p>
    <w:p>
      <w:r>
        <w:drawing>
          <wp:inline distT="0" distB="0" distL="114300" distR="114300">
            <wp:extent cx="5271135" cy="3374390"/>
            <wp:effectExtent l="0" t="0" r="19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3434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第三方贷记业务（基于在线认证）</w:t>
      </w:r>
    </w:p>
    <w:p>
      <w:pPr>
        <w:jc w:val="center"/>
      </w:pPr>
      <w:r>
        <w:drawing>
          <wp:inline distT="0" distB="0" distL="114300" distR="114300">
            <wp:extent cx="5271135" cy="3399155"/>
            <wp:effectExtent l="0" t="0" r="190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34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基于协议认证，与基于在线认证的流程形同</w:t>
      </w:r>
    </w:p>
    <w:p>
      <w:pPr>
        <w:jc w:val="center"/>
      </w:pPr>
      <w:r>
        <w:drawing>
          <wp:inline distT="0" distB="0" distL="114300" distR="114300">
            <wp:extent cx="5266055" cy="340169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QQ</w:t>
      </w:r>
      <w:r>
        <w:drawing>
          <wp:inline distT="0" distB="0" distL="114300" distR="114300">
            <wp:extent cx="5273675" cy="3413125"/>
            <wp:effectExtent l="0" t="0" r="146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QA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扎差和清算的区别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扎差：双方的净债权或净债务产生时，结算余额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清算：银行间的资金往来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二代报文交换标准：E:\长亮核心\changshajob\workspace\13-其他资料\01-二代参考资料\第二代支付系统报文交换标准V1.4.6\附件2：XML格式报文交换标准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各系统包含业务：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大额支付系统：</w:t>
      </w:r>
    </w:p>
    <w:tbl>
      <w:tblPr>
        <w:tblStyle w:val="5"/>
        <w:tblW w:w="742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"/>
        <w:gridCol w:w="1516"/>
        <w:gridCol w:w="2025"/>
        <w:gridCol w:w="2159"/>
        <w:gridCol w:w="575"/>
        <w:gridCol w:w="5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bdr w:val="none" w:color="auto" w:sz="0" w:space="0"/>
              </w:rPr>
              <w:t>序号</w:t>
            </w: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bdr w:val="none" w:color="auto" w:sz="0" w:space="0"/>
              </w:rPr>
              <w:t>报文编号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bdr w:val="none" w:color="auto" w:sz="0" w:space="0"/>
              </w:rPr>
              <w:t>报文名称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bdr w:val="none" w:color="auto" w:sz="0" w:space="0"/>
              </w:rPr>
              <w:t>报文方向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sz w:val="18"/>
                <w:szCs w:val="18"/>
                <w:bdr w:val="none" w:color="auto" w:sz="0" w:space="0"/>
              </w:rPr>
              <w:t>是否加签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b/>
                <w:sz w:val="18"/>
                <w:szCs w:val="18"/>
                <w:bdr w:val="none" w:color="auto" w:sz="0" w:space="0"/>
              </w:rPr>
              <w:t>是否对账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hvps.111.001.01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客户发起汇兑业务报文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金融机构发起汇兑业务报文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hvps.115.001.01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大额延迟结算支付申请报文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hvps.116.001.01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大额延迟结算划回申请报文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hvps.117.001.01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大额延迟结算回执报文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hvps.118.001.01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大额延迟结算退回报文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hvps.141.001.01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即时转账报文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hvps.141.002.01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即时转账报文（新）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hvps.132.001.01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即时转账回执报文（新）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hvps.142.001.01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即时转账排队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/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撤销通知报文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hvps.143.001.01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PVP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结算申请信息报文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外币系统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hvps.144.001.01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PVP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结算应答信息报文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外币系统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hvps.151.001.01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申请清算城市商业银行汇票资金报文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Style w:val="4"/>
                <w:rFonts w:hint="eastAsia" w:ascii="Verdana" w:hAnsi="Verdana" w:eastAsia="宋体" w:cs="宋体"/>
                <w:b w:val="0"/>
                <w:color w:val="000000"/>
                <w:sz w:val="20"/>
                <w:szCs w:val="20"/>
                <w:bdr w:val="none" w:color="auto" w:sz="0" w:space="0"/>
              </w:rPr>
              <w:t>城商行汇票处理中心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hvps.152.001.01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城市商业银行汇票全额兑付通知报文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城商行汇票处理中心</w:t>
            </w:r>
            <w:r>
              <w:rPr>
                <w:rFonts w:hint="default" w:ascii="Courier New" w:hAnsi="宋体" w:cs="Courier New"/>
                <w:bCs w:val="0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Fonts w:ascii="Courier New" w:hAnsi="宋体" w:cs="Courier New"/>
                <w:bCs w:val="0"/>
                <w:sz w:val="18"/>
                <w:szCs w:val="18"/>
                <w:bdr w:val="none" w:color="auto" w:sz="0" w:space="0"/>
              </w:rPr>
              <w:t>参与者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hvps.153.001.01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城市商业银行汇票申请退回业务报文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Fonts w:ascii="Courier New" w:hAnsi="宋体" w:cs="Courier New"/>
                <w:bCs w:val="0"/>
                <w:sz w:val="18"/>
                <w:szCs w:val="18"/>
                <w:bdr w:val="none" w:color="auto" w:sz="0" w:space="0"/>
              </w:rPr>
              <w:t>城商行汇票处理中心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hvps.154.001.01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取现回执报文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  <w:t>ACS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-&gt;CNAPS2-&gt;</w:t>
            </w: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hvps.631.001.01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多边轧差净额结算报文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hvps.632.001.01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多边轧差净额结算清算回执报文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hvps.633.001.01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多边轧差净额结算借贷通知报文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hvps.634.001.01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多边净额业务撤销申请报文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color w:val="000000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hvps.635.001.01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多边净额业务撤销应答报文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hvps.710.001.01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大额业务对账申请报文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hvps.711.001.01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大额业务汇总核对报文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hvps.712.001.01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大额业务明细核对申请报文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hvps.713.001.01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大额业务明细核对应答报文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hvps.714.001.01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大额业务下载申请报文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hvps.715.001.01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大额业务下载应答报文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hvps.716.001.01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大额预对账报文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hvps.717.001.01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资金拆借信息下载报文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suppressLineNumbers w:val="0"/>
              <w:spacing w:before="0" w:beforeAutospacing="0" w:after="0" w:afterAutospacing="0"/>
              <w:ind w:left="0" w:right="0" w:firstLine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hvps.718.001.01</w:t>
            </w:r>
          </w:p>
        </w:tc>
        <w:tc>
          <w:tcPr>
            <w:tcW w:w="253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大额预对账申请报文</w:t>
            </w:r>
          </w:p>
        </w:tc>
        <w:tc>
          <w:tcPr>
            <w:tcW w:w="27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6"/>
              <w:widowControl/>
              <w:spacing w:line="240" w:lineRule="auto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ascii="Courier New" w:hAnsi="宋体" w:cs="Courier New"/>
                <w:sz w:val="18"/>
                <w:szCs w:val="18"/>
                <w:bdr w:val="none" w:color="auto" w:sz="0" w:space="0"/>
              </w:rPr>
              <w:t>参与者</w:t>
            </w:r>
            <w:r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小额支付系统：</w:t>
      </w:r>
    </w:p>
    <w:tbl>
      <w:tblPr>
        <w:tblStyle w:val="5"/>
        <w:tblW w:w="73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"/>
        <w:gridCol w:w="1516"/>
        <w:gridCol w:w="2411"/>
        <w:gridCol w:w="1583"/>
        <w:gridCol w:w="575"/>
        <w:gridCol w:w="7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center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center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报文编号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报文名称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报文方向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是否加签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客户发起普通贷记业务报文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金融机构发起普通贷记业务报文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0" w:name="_Toc257726998"/>
            <w:bookmarkStart w:id="1" w:name="_Toc22955550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实时贷记业务</w:t>
            </w:r>
            <w:bookmarkEnd w:id="0"/>
            <w:bookmarkEnd w:id="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" w:name="_Toc257727001"/>
            <w:bookmarkStart w:id="3" w:name="_Toc229555512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实时贷记回执业务</w:t>
            </w:r>
            <w:bookmarkEnd w:id="2"/>
            <w:bookmarkEnd w:id="3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定期贷记业务报文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普通借记业务报文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beps.128.001.01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4" w:name="_Toc257727012"/>
            <w:bookmarkStart w:id="5" w:name="_Toc229555546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普通借记业务回执</w:t>
            </w:r>
            <w:bookmarkEnd w:id="4"/>
            <w:bookmarkEnd w:id="5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beps.130.001.01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6" w:name="_Toc257727013"/>
            <w:bookmarkStart w:id="7" w:name="_Toc229555553"/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CIS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通用回执</w:t>
            </w:r>
            <w:bookmarkEnd w:id="6"/>
            <w:bookmarkEnd w:id="7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beps.131.001.01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8" w:name="_Toc257727016"/>
            <w:bookmarkStart w:id="9" w:name="_Toc229555573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实时借记业务</w:t>
            </w:r>
            <w:bookmarkEnd w:id="8"/>
            <w:bookmarkEnd w:id="9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beps.132.001.01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0" w:name="_Toc257727021"/>
            <w:bookmarkStart w:id="11" w:name="_Toc229555600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实时借记业务回执</w:t>
            </w:r>
            <w:bookmarkEnd w:id="10"/>
            <w:bookmarkEnd w:id="1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beps.133.001.01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2" w:name="_Toc257727023"/>
            <w:bookmarkStart w:id="13" w:name="_Toc22955556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定期借记业务</w:t>
            </w:r>
            <w:bookmarkEnd w:id="12"/>
            <w:bookmarkEnd w:id="13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beps.134.001.01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4" w:name="_Toc257727024"/>
            <w:bookmarkStart w:id="15" w:name="_Toc229555569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定期借记业务回执</w:t>
            </w:r>
            <w:bookmarkEnd w:id="14"/>
            <w:bookmarkEnd w:id="15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6" w:name="_Toc257727026"/>
            <w:bookmarkStart w:id="17" w:name="_Toc22955560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批量代收业务</w:t>
            </w:r>
            <w:bookmarkEnd w:id="16"/>
            <w:bookmarkEnd w:id="17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8" w:name="_Toc257727027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批量代收业务回执</w:t>
            </w:r>
            <w:bookmarkEnd w:id="1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批量代付业务报文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批量代付业务回执报文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19" w:name="_Toc257727037"/>
            <w:bookmarkStart w:id="20" w:name="_Toc229555634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实时代收</w:t>
            </w:r>
            <w:bookmarkEnd w:id="19"/>
            <w:bookmarkEnd w:id="20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1" w:name="_Toc257727038"/>
            <w:bookmarkStart w:id="22" w:name="_Toc229555636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实时代收业务回执</w:t>
            </w:r>
            <w:bookmarkEnd w:id="21"/>
            <w:bookmarkEnd w:id="22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实时代付业务报文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实时代付业务回执报文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代收付业务拒绝通知报文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beps.389.001.01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代收付业务收付款确认报文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3" w:name="_Toc257727030"/>
            <w:bookmarkStart w:id="24" w:name="_Toc229555614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批量代收代付撤销申请</w:t>
            </w:r>
            <w:bookmarkEnd w:id="23"/>
            <w:bookmarkEnd w:id="24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批量代收代付撤销应答报文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5" w:name="_Toc257727032"/>
            <w:bookmarkStart w:id="26" w:name="_Toc229555616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批量客户签约协议</w:t>
            </w:r>
            <w:bookmarkEnd w:id="25"/>
            <w:bookmarkEnd w:id="26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批量客户签约协议管理应答报文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7" w:name="_Toc257727033"/>
            <w:bookmarkStart w:id="28" w:name="_Toc22955561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批量客户账户信息查询</w:t>
            </w:r>
            <w:bookmarkEnd w:id="27"/>
            <w:bookmarkEnd w:id="2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29" w:name="_Toc257727034"/>
            <w:bookmarkStart w:id="30" w:name="_Toc229555619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批量客户账户查询应答</w:t>
            </w:r>
            <w:bookmarkEnd w:id="29"/>
            <w:bookmarkEnd w:id="30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31" w:name="_Toc257727047"/>
            <w:bookmarkStart w:id="32" w:name="_Toc22955564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主动缴款查询</w:t>
            </w:r>
            <w:bookmarkEnd w:id="31"/>
            <w:bookmarkEnd w:id="32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33" w:name="_Toc257727048"/>
            <w:bookmarkStart w:id="34" w:name="_Toc229555643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主动缴款查询应答</w:t>
            </w:r>
            <w:bookmarkEnd w:id="33"/>
            <w:bookmarkEnd w:id="34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35" w:name="_Toc257727049"/>
            <w:bookmarkStart w:id="36" w:name="_Toc229555645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主动缴款</w:t>
            </w:r>
            <w:bookmarkEnd w:id="35"/>
            <w:bookmarkEnd w:id="36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beps.399.001.01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主动缴款通知应答报文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beps.403.001.01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发票打印申请报文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beps.404.001.01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发票打印回应报文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借记业务止付申请报文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借记业务止付应答报文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实时业务冲正申请报文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实时业务冲正应答报文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实时业务冲正通知报文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37" w:name="_Toc25772704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支票圈存</w:t>
            </w:r>
            <w:bookmarkEnd w:id="37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beps.419.001.01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38" w:name="_Toc229555624"/>
            <w:bookmarkStart w:id="39" w:name="_Toc257727042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支票圈存</w:t>
            </w:r>
            <w:bookmarkEnd w:id="3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管理应答</w:t>
            </w:r>
            <w:bookmarkEnd w:id="39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小额业务对账申请报文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40" w:name="_Toc257727080"/>
            <w:bookmarkStart w:id="41" w:name="_Toc229555704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小额业务包汇总核对</w:t>
            </w:r>
            <w:bookmarkEnd w:id="40"/>
            <w:bookmarkEnd w:id="41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小额业务包明细核对申请报文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小额业务包明细核对应答报文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42" w:name="_Toc257727081"/>
            <w:bookmarkStart w:id="43" w:name="_Toc229555717"/>
            <w:bookmarkStart w:id="44" w:name="_Toc160612841"/>
            <w:bookmarkStart w:id="45" w:name="_Toc142476908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小额业务包下载申请</w:t>
            </w:r>
            <w:bookmarkEnd w:id="42"/>
            <w:bookmarkEnd w:id="43"/>
            <w:bookmarkEnd w:id="44"/>
            <w:bookmarkEnd w:id="45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小额业务包下载申请应答报文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beps.726.001.01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bookmarkStart w:id="46" w:name="_Toc257727082"/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小额预对账报文</w:t>
            </w:r>
            <w:bookmarkEnd w:id="46"/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清算账户系统：</w:t>
      </w:r>
    </w:p>
    <w:tbl>
      <w:tblPr>
        <w:tblStyle w:val="5"/>
        <w:tblW w:w="73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"/>
        <w:gridCol w:w="1516"/>
        <w:gridCol w:w="2411"/>
        <w:gridCol w:w="1583"/>
        <w:gridCol w:w="575"/>
        <w:gridCol w:w="7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center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报文编号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报文名称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报文方向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是否加签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净借记限额质押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授信额度分配管理报文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净借记限额可用额度预警值设置报文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净借记限额可用额度预警通知报文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nets.356.001.01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净借记限额管理通知报文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saps.357.001.01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质押融资管理报文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saps.358.001.01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人工质押融资申请报文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saps.359.001.01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融资需要通知报文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筹措资金通知报文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清算账户余额警戒值设置申请报文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余额告警通知报文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清算排队查询申请报文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清算排队查询应答报文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清算排队管理申请报文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清算账户信息查询申请报文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清算账户信息查询应答报文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saps.366.001.02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清算账户信息查询申请报文（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02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版）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saps.367.001.02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清算账户信息查询应答报文（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02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版）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开户单位全面流动性查询报文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saps.369.001.01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开户单位全面流动性应答报文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清算账户开户申请报文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清算账户维护申请报文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账户管理通知报文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清算账户资金池管理报文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清算账户自动拆借管理申请报文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清算账户自动拆借管理应答报文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nets.376.001.01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净借记限额圈存资金调增报文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nets.377.001.01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净借记限额圈存资金调减报文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saps.378.001.01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质押融资债券调整通知报文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CBGS-&gt;CNAPS2-&gt;ACS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nets.405.001.01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轧差排队查询申请报文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nets.406.001.01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轧差排队查询应答报文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nets.407.001.01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宋体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轧差排队管理申请报文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宋体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saps.603.001.02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小额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网银净额清算通知报文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saps.604.001.01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清算回执报文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saps.606.001.01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清算账户记账通知报文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saps.607.001.01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日间透支计息扣款通知报文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pbcs.</w:t>
            </w: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608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计费与返还清单报文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saps.609.001.01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同城净额清算查询申请报文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同城净额清算查询应答报文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同城轧差净额清算业务报文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单边业务报文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错账冲正业务报文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资金池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自动拆借管理查询申请报文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资金池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自动拆借管理查询应答报文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saps.616.001.01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非本日轧差净额清单下发报文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nets.617.001.01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轧差净额查询请求报文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nets.618.001.01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轧差净额查询应答报文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</w:t>
            </w:r>
            <w:r>
              <w:rPr>
                <w:rFonts w:hint="default" w:ascii="Courier New" w:hAnsi="Courier New" w:eastAsia="宋体" w:cs="Courier New"/>
                <w:bCs/>
                <w:color w:val="000000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619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ECDS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计费清单报文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人民银行清算业务汇总核对报文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人民银行清算业务明细核对申请报文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人民银行清算业务明细核对报文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人民银行（国库）日终账务数据下载报文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人民银行（国库）年终账户账务数据下载报文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账户账务明细下载报文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清算账户日报表下载报文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核对余额及工作日申请报文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核对余额及工作日应答报文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saps.739.001.01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人民银行清算业务预对账报文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saps.740.001.01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ABS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账户归并申请报文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saps.741.001.01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人民银行清算业务对账申请报文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suppressLineNumbers w:val="0"/>
              <w:tabs>
                <w:tab w:val="left" w:pos="360"/>
              </w:tabs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color w:val="000000"/>
                <w:kern w:val="2"/>
                <w:sz w:val="18"/>
                <w:szCs w:val="18"/>
                <w:bdr w:val="none" w:color="auto" w:sz="0" w:space="0"/>
                <w:lang w:val="en-US" w:eastAsia="zh-CN" w:bidi="ar"/>
              </w:rPr>
              <w:t>saps.742.001.01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color w:val="000000"/>
                <w:kern w:val="2"/>
                <w:sz w:val="18"/>
                <w:szCs w:val="18"/>
                <w:bdr w:val="none" w:color="auto" w:sz="0" w:space="0"/>
                <w:lang w:val="en-US" w:eastAsia="zh-CN" w:bidi="ar"/>
              </w:rPr>
              <w:t>日间透支信息报文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宋体" w:hAnsi="宋体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eastAsia" w:ascii="宋体" w:hAnsi="宋体" w:eastAsia="宋体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公共控制系统：</w:t>
      </w:r>
    </w:p>
    <w:tbl>
      <w:tblPr>
        <w:tblStyle w:val="5"/>
        <w:tblW w:w="73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5"/>
        <w:gridCol w:w="1516"/>
        <w:gridCol w:w="2411"/>
        <w:gridCol w:w="1583"/>
        <w:gridCol w:w="575"/>
        <w:gridCol w:w="7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center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序号</w:t>
            </w: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center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报文编号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报文名称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21"/>
                <w:szCs w:val="21"/>
                <w:bdr w:val="none" w:color="auto" w:sz="0" w:space="0"/>
                <w:lang w:val="en-US" w:eastAsia="zh-CN" w:bidi="ar"/>
              </w:rPr>
              <w:t>报文方向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是否加签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0E0E0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是否对账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ccms.303.001.02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自由格式报文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ccms.307.001.02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业务撤销申请报文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ccms.308.001.02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业务撤销应答报文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ccms.310.001.01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通用非签名信息业务报文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通用非签名信息业务应答报文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通用签名信息业务报文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通用签名信息业务应答报文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ccms.314.001.01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业务查询报文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HVPS-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业务查复报文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HVPS-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BEPS-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信息报文对账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业务状态查询申请报文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业务状态查询应答报文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ccms.318.001.01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业务退回申请报文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ccms.319.001.01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业务退回应答报文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ccms.801.001.02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系统状态变更通知报文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ccms.803.001.02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参与机构状态变更通知报文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ccms.805.001.02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登录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退出申请报文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ccms.806.001.02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登录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/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退出应答报文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ccms.807.001.02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强制离线通知报文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ccms.809.001.02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停启运通知报文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ccms.811.001.01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ACS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专用时间结束通知报文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ccms.900.001.02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通用处理确认报文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ccms.903.001.02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数字证书绑定管理通知报文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ccms.906.001.01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业务种类与类型管理报文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ccms.907.001.02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系统参数变更报文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ccms.911.001.02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报文丢弃通知报文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ccms.913.001.01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CIS</w:t>
            </w: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代理行变更通知报文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ccms.915.001.01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业务权限变更通知报文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行名行号变更通知报文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ccms.917.001.01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基础信息变更通知报文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ccms.919.001.01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数字证书下载申请报文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ccms.921.001.01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数字证书下载应答报文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√</w:t>
            </w: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ccms.926.001.01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业务金额上限下发报文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ccms.990.001.02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通信级确认报文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ccms.991.001.01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探测请求报文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-&gt;CNAPS2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numPr>
                <w:ilvl w:val="0"/>
                <w:numId w:val="4"/>
              </w:numPr>
              <w:suppressLineNumbers w:val="0"/>
              <w:spacing w:before="0" w:beforeAutospacing="0" w:after="0" w:afterAutospacing="0"/>
              <w:ind w:left="0" w:right="0" w:firstLine="0"/>
              <w:jc w:val="center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18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ccms.992.001.01</w:t>
            </w:r>
          </w:p>
        </w:tc>
        <w:tc>
          <w:tcPr>
            <w:tcW w:w="30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探测回应报文</w:t>
            </w:r>
          </w:p>
        </w:tc>
        <w:tc>
          <w:tcPr>
            <w:tcW w:w="19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pStyle w:val="2"/>
              <w:keepNext w:val="0"/>
              <w:keepLines w:val="0"/>
              <w:widowControl w:val="0"/>
              <w:suppressLineNumbers w:val="0"/>
              <w:spacing w:before="0" w:beforeAutospacing="0" w:after="0" w:afterAutospacing="0" w:line="240" w:lineRule="auto"/>
              <w:ind w:left="0" w:right="0"/>
              <w:jc w:val="both"/>
              <w:rPr>
                <w:rFonts w:hint="default" w:ascii="Courier New" w:hAnsi="Courier New" w:cs="Courier New"/>
                <w:sz w:val="18"/>
                <w:szCs w:val="18"/>
                <w:bdr w:val="none" w:color="auto" w:sz="0" w:space="0"/>
                <w:lang w:val="en-US"/>
              </w:rPr>
            </w:pPr>
            <w:r>
              <w:rPr>
                <w:rFonts w:hint="eastAsia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参与机构</w:t>
            </w:r>
            <w:r>
              <w:rPr>
                <w:rFonts w:hint="default" w:ascii="Courier New" w:hAnsi="Courier New" w:eastAsia="宋体" w:cs="Courier New"/>
                <w:bCs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&lt;-CNAPS2</w:t>
            </w: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  <w:tc>
          <w:tcPr>
            <w:tcW w:w="8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Courier New" w:hAnsi="Courier New" w:cs="Courier New"/>
                <w:b/>
                <w:sz w:val="18"/>
                <w:szCs w:val="18"/>
                <w:bdr w:val="none" w:color="auto" w:sz="0" w:space="0"/>
                <w:lang w:val="en-US"/>
              </w:rPr>
            </w:pPr>
          </w:p>
        </w:tc>
      </w:tr>
    </w:tbl>
    <w:p>
      <w:pPr>
        <w:jc w:val="both"/>
        <w:rPr>
          <w:rFonts w:hint="eastAsia"/>
          <w:lang w:val="en-US" w:eastAsia="zh-CN"/>
        </w:rPr>
      </w:pPr>
      <w:bookmarkStart w:id="47" w:name="_GoBack"/>
      <w:bookmarkEnd w:id="47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200101FF" w:csb1="2028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Verdana">
    <w:panose1 w:val="020B0604030504040204"/>
    <w:charset w:val="00"/>
    <w:family w:val="auto"/>
    <w:pitch w:val="variable"/>
    <w:sig w:usb0="A00006FF" w:usb1="4000205B" w:usb2="00000010" w:usb3="00000000" w:csb0="2000019F" w:csb1="00000000"/>
  </w:font>
  <w:font w:name="@宋体">
    <w:panose1 w:val="02010600030101010101"/>
    <w:charset w:val="86"/>
    <w:family w:val="auto"/>
    <w:pitch w:val="variable"/>
    <w:sig w:usb0="00000003" w:usb1="288F0000" w:usb2="00000006" w:usb3="00000000" w:csb0="0004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44025F"/>
    <w:multiLevelType w:val="multilevel"/>
    <w:tmpl w:val="9744025F"/>
    <w:lvl w:ilvl="0" w:tentative="0">
      <w:start w:val="1"/>
      <w:numFmt w:val="decimal"/>
      <w:suff w:val="nothing"/>
      <w:lvlText w:val="%1."/>
      <w:lvlJc w:val="center"/>
      <w:pPr>
        <w:ind w:left="0" w:firstLine="0"/>
      </w:pPr>
      <w:rPr>
        <w:rFonts w:hint="eastAsia" w:ascii="宋体" w:hAnsi="Times New Roman" w:eastAsia="宋体" w:cs="宋体"/>
        <w:b w:val="0"/>
        <w:sz w:val="21"/>
        <w:szCs w:val="21"/>
      </w:rPr>
    </w:lvl>
    <w:lvl w:ilvl="1" w:tentative="0">
      <w:start w:val="1"/>
      <w:numFmt w:val="decimal"/>
      <w:suff w:val="nothing"/>
      <w:lvlText w:val="%1.%2"/>
      <w:lvlJc w:val="left"/>
      <w:pPr>
        <w:ind w:left="576" w:hanging="576"/>
      </w:pPr>
      <w:rPr>
        <w:rFonts w:hint="eastAsia" w:ascii="宋体" w:hAnsi="Times New Roman" w:eastAsia="宋体" w:cs="宋体"/>
        <w:b w:val="0"/>
        <w:sz w:val="21"/>
        <w:szCs w:val="21"/>
      </w:rPr>
    </w:lvl>
    <w:lvl w:ilvl="2" w:tentative="0">
      <w:start w:val="1"/>
      <w:numFmt w:val="decimal"/>
      <w:suff w:val="nothing"/>
      <w:lvlText w:val="%1.%2.%3"/>
      <w:lvlJc w:val="left"/>
      <w:pPr>
        <w:ind w:left="720" w:hanging="720"/>
      </w:pPr>
      <w:rPr>
        <w:rFonts w:hint="eastAsia" w:ascii="宋体" w:hAnsi="Times New Roman" w:eastAsia="宋体" w:cs="宋体"/>
        <w:b w:val="0"/>
        <w:sz w:val="21"/>
        <w:szCs w:val="21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1">
    <w:nsid w:val="C8E9B026"/>
    <w:multiLevelType w:val="multilevel"/>
    <w:tmpl w:val="C8E9B026"/>
    <w:lvl w:ilvl="0" w:tentative="0">
      <w:start w:val="1"/>
      <w:numFmt w:val="decimal"/>
      <w:suff w:val="nothing"/>
      <w:lvlText w:val="%1."/>
      <w:lvlJc w:val="center"/>
      <w:pPr>
        <w:ind w:left="0" w:firstLine="0"/>
      </w:pPr>
      <w:rPr>
        <w:rFonts w:hint="eastAsia" w:ascii="宋体" w:hAnsi="Times New Roman" w:eastAsia="宋体" w:cs="宋体"/>
        <w:b w:val="0"/>
        <w:sz w:val="18"/>
        <w:szCs w:val="21"/>
      </w:rPr>
    </w:lvl>
    <w:lvl w:ilvl="1" w:tentative="0">
      <w:start w:val="1"/>
      <w:numFmt w:val="decimal"/>
      <w:suff w:val="nothing"/>
      <w:lvlText w:val="%1.%2"/>
      <w:lvlJc w:val="left"/>
      <w:pPr>
        <w:ind w:left="576" w:hanging="576"/>
      </w:pPr>
      <w:rPr>
        <w:rFonts w:hint="eastAsia" w:ascii="宋体" w:hAnsi="Times New Roman" w:eastAsia="宋体" w:cs="宋体"/>
        <w:b w:val="0"/>
        <w:sz w:val="21"/>
        <w:szCs w:val="21"/>
      </w:rPr>
    </w:lvl>
    <w:lvl w:ilvl="2" w:tentative="0">
      <w:start w:val="1"/>
      <w:numFmt w:val="decimal"/>
      <w:suff w:val="nothing"/>
      <w:lvlText w:val="%1.%2.%3"/>
      <w:lvlJc w:val="left"/>
      <w:pPr>
        <w:ind w:left="720" w:hanging="720"/>
      </w:pPr>
      <w:rPr>
        <w:rFonts w:hint="eastAsia" w:ascii="宋体" w:hAnsi="Times New Roman" w:eastAsia="宋体" w:cs="宋体"/>
        <w:b w:val="0"/>
        <w:sz w:val="21"/>
        <w:szCs w:val="21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2">
    <w:nsid w:val="F1CD0DF7"/>
    <w:multiLevelType w:val="multilevel"/>
    <w:tmpl w:val="F1CD0DF7"/>
    <w:lvl w:ilvl="0" w:tentative="0">
      <w:start w:val="1"/>
      <w:numFmt w:val="decimal"/>
      <w:suff w:val="nothing"/>
      <w:lvlText w:val="%1."/>
      <w:lvlJc w:val="center"/>
      <w:pPr>
        <w:ind w:left="0" w:firstLine="0"/>
      </w:pPr>
      <w:rPr>
        <w:rFonts w:hint="eastAsia" w:ascii="宋体" w:hAnsi="Times New Roman" w:eastAsia="宋体" w:cs="宋体"/>
        <w:b w:val="0"/>
        <w:sz w:val="18"/>
        <w:szCs w:val="21"/>
      </w:rPr>
    </w:lvl>
    <w:lvl w:ilvl="1" w:tentative="0">
      <w:start w:val="1"/>
      <w:numFmt w:val="decimal"/>
      <w:suff w:val="nothing"/>
      <w:lvlText w:val="%1.%2"/>
      <w:lvlJc w:val="left"/>
      <w:pPr>
        <w:ind w:left="576" w:hanging="576"/>
      </w:pPr>
      <w:rPr>
        <w:rFonts w:hint="eastAsia" w:ascii="宋体" w:hAnsi="Times New Roman" w:eastAsia="宋体" w:cs="宋体"/>
        <w:b w:val="0"/>
        <w:sz w:val="21"/>
        <w:szCs w:val="21"/>
      </w:rPr>
    </w:lvl>
    <w:lvl w:ilvl="2" w:tentative="0">
      <w:start w:val="1"/>
      <w:numFmt w:val="decimal"/>
      <w:suff w:val="nothing"/>
      <w:lvlText w:val="%1.%2.%3"/>
      <w:lvlJc w:val="left"/>
      <w:pPr>
        <w:ind w:left="720" w:hanging="720"/>
      </w:pPr>
      <w:rPr>
        <w:rFonts w:hint="eastAsia" w:ascii="宋体" w:hAnsi="Times New Roman" w:eastAsia="宋体" w:cs="宋体"/>
        <w:b w:val="0"/>
        <w:sz w:val="21"/>
        <w:szCs w:val="21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3">
    <w:nsid w:val="51E57B76"/>
    <w:multiLevelType w:val="multilevel"/>
    <w:tmpl w:val="51E57B76"/>
    <w:lvl w:ilvl="0" w:tentative="0">
      <w:start w:val="1"/>
      <w:numFmt w:val="decimal"/>
      <w:suff w:val="nothing"/>
      <w:lvlText w:val="%1."/>
      <w:lvlJc w:val="center"/>
      <w:pPr>
        <w:ind w:left="0" w:firstLine="0"/>
      </w:pPr>
      <w:rPr>
        <w:rFonts w:hint="eastAsia" w:ascii="宋体" w:hAnsi="Times New Roman" w:eastAsia="宋体" w:cs="宋体"/>
        <w:b w:val="0"/>
        <w:sz w:val="18"/>
        <w:szCs w:val="21"/>
      </w:rPr>
    </w:lvl>
    <w:lvl w:ilvl="1" w:tentative="0">
      <w:start w:val="1"/>
      <w:numFmt w:val="decimal"/>
      <w:suff w:val="nothing"/>
      <w:lvlText w:val="%1.%2"/>
      <w:lvlJc w:val="left"/>
      <w:pPr>
        <w:ind w:left="576" w:hanging="576"/>
      </w:pPr>
      <w:rPr>
        <w:rFonts w:hint="eastAsia" w:ascii="宋体" w:hAnsi="Times New Roman" w:eastAsia="宋体" w:cs="宋体"/>
        <w:b w:val="0"/>
        <w:sz w:val="21"/>
        <w:szCs w:val="21"/>
      </w:rPr>
    </w:lvl>
    <w:lvl w:ilvl="2" w:tentative="0">
      <w:start w:val="1"/>
      <w:numFmt w:val="decimal"/>
      <w:suff w:val="nothing"/>
      <w:lvlText w:val="%1.%2.%3"/>
      <w:lvlJc w:val="left"/>
      <w:pPr>
        <w:ind w:left="720" w:hanging="720"/>
      </w:pPr>
      <w:rPr>
        <w:rFonts w:hint="eastAsia" w:ascii="宋体" w:hAnsi="Times New Roman" w:eastAsia="宋体" w:cs="宋体"/>
        <w:b w:val="0"/>
        <w:sz w:val="21"/>
        <w:szCs w:val="21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714F0"/>
    <w:rsid w:val="05960B67"/>
    <w:rsid w:val="0C7D3C44"/>
    <w:rsid w:val="12466AFD"/>
    <w:rsid w:val="1328252C"/>
    <w:rsid w:val="1C070529"/>
    <w:rsid w:val="1CB625C0"/>
    <w:rsid w:val="23830403"/>
    <w:rsid w:val="26230F4A"/>
    <w:rsid w:val="28757263"/>
    <w:rsid w:val="2C3C1387"/>
    <w:rsid w:val="2C5E4C6C"/>
    <w:rsid w:val="2D5037D9"/>
    <w:rsid w:val="2D523333"/>
    <w:rsid w:val="2E6F2CD5"/>
    <w:rsid w:val="31051526"/>
    <w:rsid w:val="329F1F85"/>
    <w:rsid w:val="376F19CC"/>
    <w:rsid w:val="37E67FBC"/>
    <w:rsid w:val="3AEF4F68"/>
    <w:rsid w:val="3BF22C1C"/>
    <w:rsid w:val="3D315EC1"/>
    <w:rsid w:val="3DCE3225"/>
    <w:rsid w:val="424E7DE3"/>
    <w:rsid w:val="46197FE0"/>
    <w:rsid w:val="49537A5A"/>
    <w:rsid w:val="4B5E161E"/>
    <w:rsid w:val="4DB91CC3"/>
    <w:rsid w:val="4E7A1706"/>
    <w:rsid w:val="510B284A"/>
    <w:rsid w:val="54246670"/>
    <w:rsid w:val="59595A03"/>
    <w:rsid w:val="5E47236B"/>
    <w:rsid w:val="63E834CE"/>
    <w:rsid w:val="6AA73764"/>
    <w:rsid w:val="707D47EC"/>
    <w:rsid w:val="70B5177B"/>
    <w:rsid w:val="796F0A5B"/>
    <w:rsid w:val="7C053987"/>
    <w:rsid w:val="7D55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  <w:style w:type="character" w:styleId="4">
    <w:name w:val="Strong"/>
    <w:basedOn w:val="3"/>
    <w:qFormat/>
    <w:uiPriority w:val="0"/>
    <w:rPr>
      <w:b/>
    </w:rPr>
  </w:style>
  <w:style w:type="paragraph" w:customStyle="1" w:styleId="6">
    <w:name w:val="图片文字"/>
    <w:basedOn w:val="1"/>
    <w:uiPriority w:val="0"/>
    <w:pPr>
      <w:keepNext w:val="0"/>
      <w:keepLines w:val="0"/>
      <w:widowControl w:val="0"/>
      <w:suppressLineNumbers w:val="0"/>
      <w:spacing w:before="0" w:beforeAutospacing="0" w:after="0" w:afterAutospacing="0" w:line="240" w:lineRule="atLeast"/>
      <w:ind w:left="0" w:right="0"/>
      <w:jc w:val="center"/>
    </w:pPr>
    <w:rPr>
      <w:rFonts w:hint="eastAsia" w:ascii="宋体" w:hAnsi="Tahoma" w:eastAsia="宋体" w:cs="Tahoma"/>
      <w:bCs/>
      <w:kern w:val="0"/>
      <w:sz w:val="21"/>
      <w:szCs w:val="21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郑超群</cp:lastModifiedBy>
  <dcterms:modified xsi:type="dcterms:W3CDTF">2018-07-17T03:43:09Z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